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19" w:rsidRPr="00080523" w:rsidRDefault="00BB331E" w:rsidP="00BB331E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Congreso </w:t>
      </w:r>
      <w:r w:rsidR="005373C9">
        <w:rPr>
          <w:b/>
          <w:sz w:val="28"/>
          <w:u w:val="single"/>
        </w:rPr>
        <w:t xml:space="preserve">Jalisciense </w:t>
      </w:r>
      <w:r>
        <w:rPr>
          <w:b/>
          <w:sz w:val="28"/>
          <w:u w:val="single"/>
        </w:rPr>
        <w:t>baja calificación en transparencia</w:t>
      </w:r>
    </w:p>
    <w:p w:rsidR="00BB331E" w:rsidRDefault="00BB331E" w:rsidP="008221E2">
      <w:pPr>
        <w:pStyle w:val="Prrafodelista"/>
        <w:numPr>
          <w:ilvl w:val="0"/>
          <w:numId w:val="6"/>
        </w:numPr>
        <w:spacing w:line="240" w:lineRule="auto"/>
        <w:jc w:val="both"/>
      </w:pPr>
      <w:r>
        <w:t xml:space="preserve">El Congreso </w:t>
      </w:r>
      <w:r w:rsidR="00BB528C">
        <w:t xml:space="preserve">se rezaga </w:t>
      </w:r>
      <w:r>
        <w:t>en transparencia</w:t>
      </w:r>
    </w:p>
    <w:p w:rsidR="00BB331E" w:rsidRDefault="00BB331E" w:rsidP="008221E2">
      <w:pPr>
        <w:pStyle w:val="Prrafodelista"/>
        <w:numPr>
          <w:ilvl w:val="0"/>
          <w:numId w:val="6"/>
        </w:numPr>
        <w:spacing w:line="240" w:lineRule="auto"/>
        <w:jc w:val="both"/>
      </w:pPr>
      <w:r>
        <w:t xml:space="preserve">No hay información en lengua indígena </w:t>
      </w:r>
    </w:p>
    <w:p w:rsidR="00550419" w:rsidRDefault="00BB331E" w:rsidP="008221E2">
      <w:pPr>
        <w:pStyle w:val="Prrafodelista"/>
        <w:numPr>
          <w:ilvl w:val="0"/>
          <w:numId w:val="6"/>
        </w:numPr>
        <w:spacing w:line="240" w:lineRule="auto"/>
        <w:jc w:val="both"/>
      </w:pPr>
      <w:r>
        <w:t>H</w:t>
      </w:r>
      <w:r w:rsidR="00BB528C">
        <w:t xml:space="preserve">ay ligeros avances, </w:t>
      </w:r>
      <w:r>
        <w:t>pero falta institucionalizar</w:t>
      </w:r>
      <w:r w:rsidR="00BB528C">
        <w:t>los</w:t>
      </w:r>
    </w:p>
    <w:p w:rsidR="00BB331E" w:rsidRPr="001C3579" w:rsidRDefault="00BB528C" w:rsidP="008221E2">
      <w:pPr>
        <w:pStyle w:val="Prrafodelista"/>
        <w:numPr>
          <w:ilvl w:val="0"/>
          <w:numId w:val="6"/>
        </w:numPr>
        <w:spacing w:line="240" w:lineRule="auto"/>
        <w:jc w:val="both"/>
      </w:pPr>
      <w:r>
        <w:t>Hay avances normativos en Control Interno pero persiste la opacidad</w:t>
      </w:r>
    </w:p>
    <w:p w:rsidR="00550419" w:rsidRDefault="00550419" w:rsidP="008221E2">
      <w:pPr>
        <w:spacing w:line="240" w:lineRule="auto"/>
        <w:jc w:val="both"/>
      </w:pPr>
      <w:r>
        <w:t>C</w:t>
      </w:r>
      <w:r w:rsidR="00BB331E">
        <w:t xml:space="preserve">IMTRA Jalisco, </w:t>
      </w:r>
      <w:r w:rsidR="00D6251F">
        <w:t xml:space="preserve">en coordinación con </w:t>
      </w:r>
      <w:r w:rsidR="00BB331E">
        <w:t>el Observatorio L</w:t>
      </w:r>
      <w:r>
        <w:t xml:space="preserve">egislativo del </w:t>
      </w:r>
      <w:proofErr w:type="spellStart"/>
      <w:r>
        <w:t>Iteso</w:t>
      </w:r>
      <w:proofErr w:type="spellEnd"/>
      <w:r>
        <w:t xml:space="preserve"> y </w:t>
      </w:r>
      <w:r w:rsidR="0023066E">
        <w:t>CUCEA, evaluamos</w:t>
      </w:r>
      <w:r>
        <w:t xml:space="preserve"> por última</w:t>
      </w:r>
      <w:r w:rsidR="0023066E">
        <w:t xml:space="preserve"> y tercera</w:t>
      </w:r>
      <w:r>
        <w:t xml:space="preserve"> </w:t>
      </w:r>
      <w:r w:rsidR="0023066E">
        <w:t>vez a la Legislatura LXI, cuyo</w:t>
      </w:r>
      <w:r>
        <w:t xml:space="preserve"> comportamiento en transparencia fue inestable e irregular:</w:t>
      </w:r>
    </w:p>
    <w:p w:rsidR="00550419" w:rsidRDefault="00550419" w:rsidP="00BB331E">
      <w:pPr>
        <w:jc w:val="both"/>
      </w:pPr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50419" w:rsidRDefault="00550419" w:rsidP="008221E2">
      <w:pPr>
        <w:spacing w:line="240" w:lineRule="auto"/>
        <w:jc w:val="both"/>
      </w:pPr>
      <w:r>
        <w:t xml:space="preserve">En ese sentido, detectamos que existe una complejidad institucional para que el Congreso sea transparente, </w:t>
      </w:r>
      <w:r w:rsidR="00B531FE">
        <w:t xml:space="preserve">por lo que </w:t>
      </w:r>
      <w:r w:rsidR="00223736">
        <w:t>es indispensable la</w:t>
      </w:r>
      <w:r>
        <w:t xml:space="preserve"> voluntad política de todas las fracciones para lograr un parlamento abierto.  La calificación final del Congreso fue de 53.1% sobre 100. </w:t>
      </w:r>
    </w:p>
    <w:tbl>
      <w:tblPr>
        <w:tblW w:w="3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74"/>
        <w:gridCol w:w="1129"/>
      </w:tblGrid>
      <w:tr w:rsidR="00550419" w:rsidRPr="00550419" w:rsidTr="00AA2CF4">
        <w:trPr>
          <w:trHeight w:val="301"/>
          <w:jc w:val="center"/>
        </w:trPr>
        <w:tc>
          <w:tcPr>
            <w:tcW w:w="2674" w:type="dxa"/>
            <w:shd w:val="clear" w:color="auto" w:fill="auto"/>
            <w:vAlign w:val="center"/>
            <w:hideMark/>
          </w:tcPr>
          <w:p w:rsidR="00550419" w:rsidRPr="00544FB2" w:rsidRDefault="00550419" w:rsidP="00BB33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4F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Integración y estructura</w:t>
            </w:r>
          </w:p>
        </w:tc>
        <w:tc>
          <w:tcPr>
            <w:tcW w:w="1129" w:type="dxa"/>
            <w:vAlign w:val="center"/>
          </w:tcPr>
          <w:p w:rsidR="00550419" w:rsidRPr="00544FB2" w:rsidRDefault="00550419" w:rsidP="00BB331E">
            <w:pPr>
              <w:jc w:val="both"/>
              <w:rPr>
                <w:sz w:val="16"/>
                <w:szCs w:val="16"/>
              </w:rPr>
            </w:pPr>
            <w:r w:rsidRPr="00544FB2">
              <w:rPr>
                <w:rFonts w:ascii="Arial" w:hAnsi="Arial" w:cs="Arial"/>
                <w:b/>
                <w:bCs/>
                <w:sz w:val="16"/>
                <w:szCs w:val="16"/>
              </w:rPr>
              <w:t>61.9%</w:t>
            </w:r>
          </w:p>
        </w:tc>
      </w:tr>
      <w:tr w:rsidR="00550419" w:rsidRPr="00550419" w:rsidTr="00AA2CF4">
        <w:trPr>
          <w:trHeight w:val="301"/>
          <w:jc w:val="center"/>
        </w:trPr>
        <w:tc>
          <w:tcPr>
            <w:tcW w:w="2674" w:type="dxa"/>
            <w:shd w:val="clear" w:color="auto" w:fill="auto"/>
            <w:vAlign w:val="center"/>
            <w:hideMark/>
          </w:tcPr>
          <w:p w:rsidR="00550419" w:rsidRPr="00544FB2" w:rsidRDefault="00550419" w:rsidP="00BB33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4F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Desempeño Legislativo</w:t>
            </w:r>
          </w:p>
        </w:tc>
        <w:tc>
          <w:tcPr>
            <w:tcW w:w="1129" w:type="dxa"/>
            <w:vAlign w:val="center"/>
          </w:tcPr>
          <w:p w:rsidR="00550419" w:rsidRPr="00544FB2" w:rsidRDefault="00550419" w:rsidP="00BB331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4FB2">
              <w:rPr>
                <w:rFonts w:ascii="Arial" w:hAnsi="Arial" w:cs="Arial"/>
                <w:b/>
                <w:bCs/>
                <w:sz w:val="16"/>
                <w:szCs w:val="16"/>
              </w:rPr>
              <w:t>78.6%</w:t>
            </w:r>
          </w:p>
        </w:tc>
      </w:tr>
      <w:tr w:rsidR="00550419" w:rsidRPr="00550419" w:rsidTr="00AA2CF4">
        <w:trPr>
          <w:trHeight w:val="301"/>
          <w:jc w:val="center"/>
        </w:trPr>
        <w:tc>
          <w:tcPr>
            <w:tcW w:w="2674" w:type="dxa"/>
            <w:shd w:val="clear" w:color="auto" w:fill="auto"/>
            <w:vAlign w:val="center"/>
            <w:hideMark/>
          </w:tcPr>
          <w:p w:rsidR="00550419" w:rsidRPr="00544FB2" w:rsidRDefault="00550419" w:rsidP="00BB33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4F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Documentación legislativa</w:t>
            </w:r>
          </w:p>
        </w:tc>
        <w:tc>
          <w:tcPr>
            <w:tcW w:w="1129" w:type="dxa"/>
            <w:vAlign w:val="center"/>
          </w:tcPr>
          <w:p w:rsidR="00550419" w:rsidRPr="00544FB2" w:rsidRDefault="00550419" w:rsidP="00BB331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4FB2">
              <w:rPr>
                <w:rFonts w:ascii="Arial" w:hAnsi="Arial" w:cs="Arial"/>
                <w:b/>
                <w:bCs/>
                <w:sz w:val="16"/>
                <w:szCs w:val="16"/>
              </w:rPr>
              <w:t>77.1%</w:t>
            </w:r>
          </w:p>
        </w:tc>
      </w:tr>
      <w:tr w:rsidR="00550419" w:rsidRPr="00550419" w:rsidTr="00AA2CF4">
        <w:trPr>
          <w:trHeight w:val="301"/>
          <w:jc w:val="center"/>
        </w:trPr>
        <w:tc>
          <w:tcPr>
            <w:tcW w:w="2674" w:type="dxa"/>
            <w:shd w:val="clear" w:color="auto" w:fill="auto"/>
            <w:vAlign w:val="center"/>
            <w:hideMark/>
          </w:tcPr>
          <w:p w:rsidR="00550419" w:rsidRPr="00544FB2" w:rsidRDefault="00550419" w:rsidP="00BB33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4F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Gastos</w:t>
            </w:r>
          </w:p>
        </w:tc>
        <w:tc>
          <w:tcPr>
            <w:tcW w:w="1129" w:type="dxa"/>
            <w:vAlign w:val="center"/>
          </w:tcPr>
          <w:p w:rsidR="00550419" w:rsidRPr="00544FB2" w:rsidRDefault="00550419" w:rsidP="00BB331E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44F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48.3%</w:t>
            </w:r>
          </w:p>
        </w:tc>
      </w:tr>
      <w:tr w:rsidR="00550419" w:rsidRPr="00550419" w:rsidTr="00AA2CF4">
        <w:trPr>
          <w:trHeight w:val="301"/>
          <w:jc w:val="center"/>
        </w:trPr>
        <w:tc>
          <w:tcPr>
            <w:tcW w:w="2674" w:type="dxa"/>
            <w:shd w:val="clear" w:color="auto" w:fill="auto"/>
            <w:vAlign w:val="center"/>
            <w:hideMark/>
          </w:tcPr>
          <w:p w:rsidR="00550419" w:rsidRPr="00544FB2" w:rsidRDefault="00550419" w:rsidP="00BB33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4F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29" w:type="dxa"/>
            <w:vAlign w:val="center"/>
          </w:tcPr>
          <w:p w:rsidR="00550419" w:rsidRPr="00544FB2" w:rsidRDefault="00550419" w:rsidP="00BB331E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44F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43.5%</w:t>
            </w:r>
          </w:p>
        </w:tc>
      </w:tr>
      <w:tr w:rsidR="00550419" w:rsidRPr="00550419" w:rsidTr="00AA2CF4">
        <w:trPr>
          <w:trHeight w:val="301"/>
          <w:jc w:val="center"/>
        </w:trPr>
        <w:tc>
          <w:tcPr>
            <w:tcW w:w="2674" w:type="dxa"/>
            <w:shd w:val="clear" w:color="auto" w:fill="auto"/>
            <w:vAlign w:val="center"/>
            <w:hideMark/>
          </w:tcPr>
          <w:p w:rsidR="00550419" w:rsidRPr="00544FB2" w:rsidRDefault="00550419" w:rsidP="00BB33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4F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Control interno</w:t>
            </w:r>
          </w:p>
        </w:tc>
        <w:tc>
          <w:tcPr>
            <w:tcW w:w="1129" w:type="dxa"/>
            <w:vAlign w:val="center"/>
          </w:tcPr>
          <w:p w:rsidR="00550419" w:rsidRPr="00544FB2" w:rsidRDefault="00550419" w:rsidP="00BB331E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44F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5.9%</w:t>
            </w:r>
          </w:p>
        </w:tc>
      </w:tr>
      <w:tr w:rsidR="00550419" w:rsidRPr="00550419" w:rsidTr="00AA2CF4">
        <w:trPr>
          <w:trHeight w:val="301"/>
          <w:jc w:val="center"/>
        </w:trPr>
        <w:tc>
          <w:tcPr>
            <w:tcW w:w="2674" w:type="dxa"/>
            <w:shd w:val="clear" w:color="auto" w:fill="auto"/>
            <w:vAlign w:val="center"/>
            <w:hideMark/>
          </w:tcPr>
          <w:p w:rsidR="00550419" w:rsidRPr="00544FB2" w:rsidRDefault="00550419" w:rsidP="00BB33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4F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Vinculación ciudadana</w:t>
            </w:r>
          </w:p>
        </w:tc>
        <w:tc>
          <w:tcPr>
            <w:tcW w:w="1129" w:type="dxa"/>
            <w:vAlign w:val="center"/>
          </w:tcPr>
          <w:p w:rsidR="00550419" w:rsidRPr="00544FB2" w:rsidRDefault="00550419" w:rsidP="00BB331E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544F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34.8%</w:t>
            </w:r>
          </w:p>
        </w:tc>
      </w:tr>
      <w:tr w:rsidR="00550419" w:rsidRPr="00550419" w:rsidTr="00AA2CF4">
        <w:trPr>
          <w:trHeight w:val="301"/>
          <w:jc w:val="center"/>
        </w:trPr>
        <w:tc>
          <w:tcPr>
            <w:tcW w:w="2674" w:type="dxa"/>
            <w:shd w:val="clear" w:color="auto" w:fill="auto"/>
            <w:vAlign w:val="center"/>
            <w:hideMark/>
          </w:tcPr>
          <w:p w:rsidR="00550419" w:rsidRPr="00544FB2" w:rsidRDefault="00550419" w:rsidP="00BB33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44F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Acceso a información pública</w:t>
            </w:r>
          </w:p>
        </w:tc>
        <w:tc>
          <w:tcPr>
            <w:tcW w:w="1129" w:type="dxa"/>
            <w:vAlign w:val="center"/>
          </w:tcPr>
          <w:p w:rsidR="00550419" w:rsidRPr="00544FB2" w:rsidRDefault="00550419" w:rsidP="00BB331E">
            <w:pPr>
              <w:jc w:val="both"/>
              <w:rPr>
                <w:rFonts w:ascii="Arial" w:hAnsi="Arial" w:cs="Arial"/>
                <w:b/>
                <w:bCs/>
                <w:color w:val="CC3300"/>
                <w:sz w:val="16"/>
                <w:szCs w:val="16"/>
              </w:rPr>
            </w:pPr>
            <w:r w:rsidRPr="00544FB2">
              <w:rPr>
                <w:rFonts w:ascii="Arial" w:hAnsi="Arial" w:cs="Arial"/>
                <w:b/>
                <w:bCs/>
                <w:sz w:val="16"/>
                <w:szCs w:val="16"/>
              </w:rPr>
              <w:t>75.0%</w:t>
            </w:r>
          </w:p>
        </w:tc>
      </w:tr>
      <w:tr w:rsidR="00332311" w:rsidRPr="00550419" w:rsidTr="00332311">
        <w:trPr>
          <w:trHeight w:val="301"/>
          <w:jc w:val="center"/>
        </w:trPr>
        <w:tc>
          <w:tcPr>
            <w:tcW w:w="2674" w:type="dxa"/>
            <w:shd w:val="clear" w:color="auto" w:fill="C5E0B3" w:themeFill="accent6" w:themeFillTint="66"/>
            <w:vAlign w:val="center"/>
            <w:hideMark/>
          </w:tcPr>
          <w:p w:rsidR="00332311" w:rsidRPr="00550419" w:rsidRDefault="00332311" w:rsidP="002052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32"/>
                <w:lang w:eastAsia="es-MX"/>
              </w:rPr>
            </w:pPr>
            <w:r w:rsidRPr="00550419">
              <w:rPr>
                <w:rFonts w:ascii="Arial" w:eastAsia="Times New Roman" w:hAnsi="Arial" w:cs="Arial"/>
                <w:b/>
                <w:bCs/>
                <w:sz w:val="18"/>
                <w:szCs w:val="32"/>
                <w:lang w:eastAsia="es-MX"/>
              </w:rPr>
              <w:t>Calificación final</w:t>
            </w:r>
          </w:p>
        </w:tc>
        <w:tc>
          <w:tcPr>
            <w:tcW w:w="1129" w:type="dxa"/>
            <w:vAlign w:val="bottom"/>
          </w:tcPr>
          <w:p w:rsidR="00332311" w:rsidRPr="00550419" w:rsidRDefault="00332311" w:rsidP="0020520A">
            <w:pPr>
              <w:jc w:val="both"/>
              <w:rPr>
                <w:rFonts w:ascii="Arial" w:hAnsi="Arial" w:cs="Arial"/>
                <w:b/>
                <w:bCs/>
                <w:sz w:val="18"/>
                <w:szCs w:val="32"/>
              </w:rPr>
            </w:pPr>
            <w:r w:rsidRPr="00AA2CF4">
              <w:rPr>
                <w:rFonts w:ascii="Arial" w:hAnsi="Arial" w:cs="Arial"/>
                <w:b/>
                <w:bCs/>
                <w:color w:val="FF0000"/>
                <w:sz w:val="18"/>
                <w:szCs w:val="32"/>
              </w:rPr>
              <w:t>53.1%</w:t>
            </w:r>
          </w:p>
        </w:tc>
      </w:tr>
    </w:tbl>
    <w:p w:rsidR="00765803" w:rsidRDefault="00765803" w:rsidP="00BB331E">
      <w:pPr>
        <w:jc w:val="both"/>
      </w:pPr>
    </w:p>
    <w:p w:rsidR="00765803" w:rsidRDefault="00765803" w:rsidP="00BB331E">
      <w:pPr>
        <w:jc w:val="both"/>
      </w:pPr>
    </w:p>
    <w:p w:rsidR="00550419" w:rsidRDefault="00765803" w:rsidP="008221E2">
      <w:pPr>
        <w:spacing w:line="240" w:lineRule="auto"/>
        <w:jc w:val="both"/>
      </w:pPr>
      <w:r>
        <w:t>E</w:t>
      </w:r>
      <w:r w:rsidR="00550419">
        <w:t xml:space="preserve">l bloque más bajo es el de Control Interno, </w:t>
      </w:r>
      <w:r w:rsidR="00D17037">
        <w:t xml:space="preserve">debido </w:t>
      </w:r>
      <w:r w:rsidR="00550419">
        <w:t>a que no se publica la infor</w:t>
      </w:r>
      <w:r w:rsidR="00D17037">
        <w:t xml:space="preserve">mación que se genera en el área responsable, cuya reciente </w:t>
      </w:r>
      <w:r w:rsidR="00550419">
        <w:t xml:space="preserve">creación </w:t>
      </w:r>
      <w:r w:rsidR="00D17037">
        <w:t xml:space="preserve">es preciso </w:t>
      </w:r>
      <w:r w:rsidR="00550419">
        <w:t>reconoc</w:t>
      </w:r>
      <w:r w:rsidR="00D17037">
        <w:t>er</w:t>
      </w:r>
      <w:r w:rsidR="00707100">
        <w:t>, sin embargo para validar su desempeño</w:t>
      </w:r>
      <w:r w:rsidR="00550419">
        <w:t xml:space="preserve"> </w:t>
      </w:r>
      <w:r w:rsidR="00CD7962">
        <w:t xml:space="preserve">y resultados </w:t>
      </w:r>
      <w:r w:rsidR="00D17037">
        <w:t>es necesario que el órgano de Control interno del Congreso publique y actualice información sobre las auditorías e investigaciones que realiza</w:t>
      </w:r>
      <w:r w:rsidR="00BB3ACF">
        <w:t>. Solicita</w:t>
      </w:r>
      <w:r w:rsidR="00452381">
        <w:t>mos</w:t>
      </w:r>
      <w:r w:rsidR="00550419">
        <w:t xml:space="preserve"> </w:t>
      </w:r>
      <w:r w:rsidR="00915CCF">
        <w:t xml:space="preserve">la </w:t>
      </w:r>
      <w:r w:rsidR="00D17037">
        <w:t>publica</w:t>
      </w:r>
      <w:r w:rsidR="00915CCF">
        <w:t>ción de dicha información</w:t>
      </w:r>
      <w:r w:rsidR="00D17037">
        <w:t xml:space="preserve"> a la brevedad</w:t>
      </w:r>
      <w:r w:rsidR="00550419">
        <w:t xml:space="preserve">. </w:t>
      </w:r>
    </w:p>
    <w:p w:rsidR="00A275FA" w:rsidRDefault="00A275FA" w:rsidP="008221E2">
      <w:pPr>
        <w:spacing w:line="240" w:lineRule="auto"/>
        <w:jc w:val="both"/>
      </w:pPr>
      <w:r>
        <w:t>Reconocemos que existen 4 bloques aproba</w:t>
      </w:r>
      <w:r w:rsidR="001B0E79">
        <w:t xml:space="preserve">dos en los que </w:t>
      </w:r>
      <w:r>
        <w:t>el Congreso ha mante</w:t>
      </w:r>
      <w:r w:rsidR="001B0E79">
        <w:t>nido cierta continuidad positiva</w:t>
      </w:r>
      <w:r w:rsidRPr="001B0E79">
        <w:rPr>
          <w:color w:val="000000" w:themeColor="text1"/>
        </w:rPr>
        <w:t>:</w:t>
      </w:r>
      <w:r>
        <w:t xml:space="preserve"> integración y estructura, desempeño legislativo, documentación legislativa y acceso a la información.</w:t>
      </w:r>
      <w:r w:rsidR="001B0E79" w:rsidRPr="001B0E79">
        <w:t xml:space="preserve"> </w:t>
      </w:r>
      <w:r w:rsidR="001B0E79">
        <w:t xml:space="preserve">En cambio, en los bloques de administración, gastos, control interno y vinculación ciudadana están reprobados. Aquí están los mayores obstáculos para lograr un Parlamento Abierto. </w:t>
      </w:r>
    </w:p>
    <w:p w:rsidR="00A275FA" w:rsidRDefault="00A275FA" w:rsidP="008221E2">
      <w:pPr>
        <w:spacing w:line="240" w:lineRule="auto"/>
        <w:jc w:val="both"/>
      </w:pPr>
      <w:r>
        <w:t>Entre</w:t>
      </w:r>
      <w:r w:rsidR="0034134E">
        <w:t xml:space="preserve"> los indicadores más destacados en la evaluación a la Legislatura LXI del Congreso de Jalisco, </w:t>
      </w:r>
      <w:r>
        <w:t>encontramos que:</w:t>
      </w:r>
    </w:p>
    <w:p w:rsidR="002C727E" w:rsidRDefault="006F7F34" w:rsidP="008221E2">
      <w:pPr>
        <w:pStyle w:val="Prrafodelista"/>
        <w:numPr>
          <w:ilvl w:val="0"/>
          <w:numId w:val="7"/>
        </w:numPr>
        <w:spacing w:line="240" w:lineRule="auto"/>
        <w:jc w:val="both"/>
      </w:pPr>
      <w:r>
        <w:t>SÍ</w:t>
      </w:r>
      <w:r w:rsidR="002C727E">
        <w:t xml:space="preserve"> publica listado de iniciativas y documentación</w:t>
      </w:r>
      <w:r w:rsidR="00124520">
        <w:t>.</w:t>
      </w:r>
      <w:r w:rsidR="002C727E">
        <w:t xml:space="preserve"> </w:t>
      </w:r>
    </w:p>
    <w:p w:rsidR="002C727E" w:rsidRDefault="006F7F34" w:rsidP="008221E2">
      <w:pPr>
        <w:pStyle w:val="Prrafodelista"/>
        <w:numPr>
          <w:ilvl w:val="0"/>
          <w:numId w:val="7"/>
        </w:numPr>
        <w:spacing w:line="240" w:lineRule="auto"/>
        <w:jc w:val="both"/>
      </w:pPr>
      <w:r>
        <w:t>SÍ</w:t>
      </w:r>
      <w:r w:rsidR="002C727E">
        <w:t xml:space="preserve"> publica información sobre votación y asistencia</w:t>
      </w:r>
      <w:r w:rsidR="00124520">
        <w:t>.</w:t>
      </w:r>
    </w:p>
    <w:p w:rsidR="00A275FA" w:rsidRDefault="00A275FA" w:rsidP="008221E2">
      <w:pPr>
        <w:pStyle w:val="Prrafodelista"/>
        <w:numPr>
          <w:ilvl w:val="0"/>
          <w:numId w:val="7"/>
        </w:numPr>
        <w:spacing w:line="240" w:lineRule="auto"/>
        <w:jc w:val="both"/>
      </w:pPr>
      <w:r>
        <w:t>La totalidad</w:t>
      </w:r>
      <w:r w:rsidR="006F7F34">
        <w:t xml:space="preserve"> de los diputados y diputadas NO</w:t>
      </w:r>
      <w:r>
        <w:t xml:space="preserve"> publican su 3 de 3</w:t>
      </w:r>
      <w:r w:rsidR="00124520">
        <w:t>.</w:t>
      </w:r>
    </w:p>
    <w:p w:rsidR="00A275FA" w:rsidRDefault="006F7F34" w:rsidP="008221E2">
      <w:pPr>
        <w:pStyle w:val="Prrafodelista"/>
        <w:numPr>
          <w:ilvl w:val="0"/>
          <w:numId w:val="7"/>
        </w:numPr>
        <w:spacing w:line="240" w:lineRule="auto"/>
        <w:jc w:val="both"/>
      </w:pPr>
      <w:r>
        <w:t>NO</w:t>
      </w:r>
      <w:r w:rsidR="00A275FA">
        <w:t xml:space="preserve"> publica de manera ac</w:t>
      </w:r>
      <w:r w:rsidR="00124520">
        <w:t>tualizada la agenda legislativa.</w:t>
      </w:r>
    </w:p>
    <w:p w:rsidR="00A275FA" w:rsidRDefault="006F7F34" w:rsidP="008221E2">
      <w:pPr>
        <w:pStyle w:val="Prrafodelista"/>
        <w:numPr>
          <w:ilvl w:val="0"/>
          <w:numId w:val="7"/>
        </w:numPr>
        <w:spacing w:line="240" w:lineRule="auto"/>
        <w:jc w:val="both"/>
      </w:pPr>
      <w:r>
        <w:t>NO</w:t>
      </w:r>
      <w:r w:rsidR="00A275FA">
        <w:t xml:space="preserve"> publica informes de totalidad de comisiones</w:t>
      </w:r>
      <w:r w:rsidR="00124520">
        <w:t>.</w:t>
      </w:r>
    </w:p>
    <w:p w:rsidR="00A275FA" w:rsidRDefault="006F7F34" w:rsidP="008221E2">
      <w:pPr>
        <w:pStyle w:val="Prrafodelista"/>
        <w:numPr>
          <w:ilvl w:val="0"/>
          <w:numId w:val="7"/>
        </w:numPr>
        <w:spacing w:line="240" w:lineRule="auto"/>
        <w:jc w:val="both"/>
      </w:pPr>
      <w:r>
        <w:t>NO</w:t>
      </w:r>
      <w:r w:rsidR="00A275FA">
        <w:t xml:space="preserve"> publica información sobre las decisiones tomadas en la Junta de Coordinación Política</w:t>
      </w:r>
      <w:r w:rsidR="00124520">
        <w:t>.</w:t>
      </w:r>
    </w:p>
    <w:p w:rsidR="00A275FA" w:rsidRDefault="006F7F34" w:rsidP="008221E2">
      <w:pPr>
        <w:pStyle w:val="Prrafodelista"/>
        <w:numPr>
          <w:ilvl w:val="0"/>
          <w:numId w:val="7"/>
        </w:numPr>
        <w:spacing w:line="240" w:lineRule="auto"/>
        <w:jc w:val="both"/>
      </w:pPr>
      <w:r>
        <w:t>NO</w:t>
      </w:r>
      <w:r w:rsidR="00A275FA">
        <w:t xml:space="preserve"> publica información actualizada sobre </w:t>
      </w:r>
      <w:r w:rsidR="00124520">
        <w:t xml:space="preserve">el </w:t>
      </w:r>
      <w:r w:rsidR="00A275FA">
        <w:t>personal</w:t>
      </w:r>
      <w:r w:rsidR="00124520">
        <w:t>.</w:t>
      </w:r>
    </w:p>
    <w:p w:rsidR="00A275FA" w:rsidRDefault="006F7F34" w:rsidP="008221E2">
      <w:pPr>
        <w:pStyle w:val="Prrafodelista"/>
        <w:numPr>
          <w:ilvl w:val="0"/>
          <w:numId w:val="7"/>
        </w:numPr>
        <w:spacing w:line="240" w:lineRule="auto"/>
        <w:jc w:val="both"/>
      </w:pPr>
      <w:r>
        <w:t>NO</w:t>
      </w:r>
      <w:r w:rsidR="00A275FA">
        <w:t xml:space="preserve"> hay información en lengua indígena: presupuesto, constitución</w:t>
      </w:r>
      <w:r w:rsidR="00124520">
        <w:t>.</w:t>
      </w:r>
    </w:p>
    <w:p w:rsidR="00A275FA" w:rsidRDefault="00A275FA" w:rsidP="008221E2">
      <w:pPr>
        <w:spacing w:line="240" w:lineRule="auto"/>
        <w:jc w:val="both"/>
      </w:pPr>
      <w:r>
        <w:t xml:space="preserve">A nivel nacional solo se han evaluado 3 Congresos </w:t>
      </w:r>
      <w:r w:rsidR="00A20693">
        <w:t xml:space="preserve">Locales, Jalisco baja del primero </w:t>
      </w:r>
      <w:r>
        <w:t>al segundo lugar:</w:t>
      </w:r>
    </w:p>
    <w:tbl>
      <w:tblPr>
        <w:tblW w:w="6240" w:type="dxa"/>
        <w:tblCellMar>
          <w:left w:w="70" w:type="dxa"/>
          <w:right w:w="70" w:type="dxa"/>
        </w:tblCellMar>
        <w:tblLook w:val="04A0"/>
      </w:tblPr>
      <w:tblGrid>
        <w:gridCol w:w="2240"/>
        <w:gridCol w:w="1320"/>
        <w:gridCol w:w="940"/>
        <w:gridCol w:w="860"/>
        <w:gridCol w:w="880"/>
      </w:tblGrid>
      <w:tr w:rsidR="00A275FA" w:rsidRPr="00A275FA" w:rsidTr="00A275FA">
        <w:trPr>
          <w:trHeight w:val="27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275FA" w:rsidRPr="00A275FA" w:rsidRDefault="00A275FA" w:rsidP="00BB33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275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Congreso </w:t>
            </w:r>
            <w:r w:rsidR="001B66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Local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3399"/>
            <w:noWrap/>
            <w:vAlign w:val="center"/>
            <w:hideMark/>
          </w:tcPr>
          <w:p w:rsidR="00A275FA" w:rsidRPr="00A275FA" w:rsidRDefault="00A275FA" w:rsidP="00BB33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proofErr w:type="spellStart"/>
            <w:r w:rsidRPr="00A275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Calif</w:t>
            </w:r>
            <w:proofErr w:type="spellEnd"/>
            <w:r w:rsidRPr="00A275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 (%)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3399"/>
            <w:noWrap/>
            <w:vAlign w:val="center"/>
            <w:hideMark/>
          </w:tcPr>
          <w:p w:rsidR="00A275FA" w:rsidRPr="00A275FA" w:rsidRDefault="00A275FA" w:rsidP="00BB33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275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Fecha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3399"/>
            <w:noWrap/>
            <w:vAlign w:val="center"/>
            <w:hideMark/>
          </w:tcPr>
          <w:p w:rsidR="00A275FA" w:rsidRPr="00A275FA" w:rsidRDefault="00A275FA" w:rsidP="00BB33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275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Vuelta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:rsidR="00A275FA" w:rsidRPr="00A275FA" w:rsidRDefault="00A275FA" w:rsidP="00BB33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275F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Lugar</w:t>
            </w:r>
          </w:p>
        </w:tc>
      </w:tr>
      <w:tr w:rsidR="00A275FA" w:rsidRPr="00A275FA" w:rsidTr="00A275FA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FA" w:rsidRPr="008221E2" w:rsidRDefault="00A275FA" w:rsidP="00BB33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221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Chihuahua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FA" w:rsidRPr="008221E2" w:rsidRDefault="00A275FA" w:rsidP="00BB33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22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5FA" w:rsidRPr="008221E2" w:rsidRDefault="00A275FA" w:rsidP="00BB33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221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abr-17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FA" w:rsidRPr="008221E2" w:rsidRDefault="00A275FA" w:rsidP="00BB33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221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5FA" w:rsidRPr="008221E2" w:rsidRDefault="00A275FA" w:rsidP="00BB33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221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</w:tr>
      <w:tr w:rsidR="00A275FA" w:rsidRPr="00A275FA" w:rsidTr="00A275FA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FA" w:rsidRPr="008221E2" w:rsidRDefault="00A275FA" w:rsidP="00BB33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22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Jalisco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FA" w:rsidRPr="008221E2" w:rsidRDefault="00A275FA" w:rsidP="00BB33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</w:pPr>
            <w:r w:rsidRPr="008221E2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53.1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FA" w:rsidRPr="008221E2" w:rsidRDefault="00A275FA" w:rsidP="00BB33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22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oct-18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FA" w:rsidRPr="008221E2" w:rsidRDefault="00A275FA" w:rsidP="00BB33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22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5FA" w:rsidRPr="008221E2" w:rsidRDefault="00A275FA" w:rsidP="00BB33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22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A275FA" w:rsidRPr="00A275FA" w:rsidTr="00A275FA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FA" w:rsidRPr="008221E2" w:rsidRDefault="00A275FA" w:rsidP="00BB33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221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Aguascalientes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FA" w:rsidRPr="008221E2" w:rsidRDefault="00A275FA" w:rsidP="00BB33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</w:pPr>
            <w:r w:rsidRPr="008221E2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MX"/>
              </w:rPr>
              <w:t>26.3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5FA" w:rsidRPr="008221E2" w:rsidRDefault="00A275FA" w:rsidP="00BB33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221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oct-17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FA" w:rsidRPr="008221E2" w:rsidRDefault="00A275FA" w:rsidP="00BB33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221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5FA" w:rsidRPr="008221E2" w:rsidRDefault="00A275FA" w:rsidP="00BB33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221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</w:tr>
      <w:tr w:rsidR="00A275FA" w:rsidRPr="00A275FA" w:rsidTr="00A275FA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5FA" w:rsidRPr="008221E2" w:rsidRDefault="00A275FA" w:rsidP="00BB33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221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PROMEDIO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5FA" w:rsidRPr="008221E2" w:rsidRDefault="00A275FA" w:rsidP="00BB33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221E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MX"/>
              </w:rPr>
              <w:t>49.7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5FA" w:rsidRPr="00A275FA" w:rsidRDefault="00A275FA" w:rsidP="00BB33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7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5FA" w:rsidRPr="00A275FA" w:rsidRDefault="00A275FA" w:rsidP="00BB33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7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5FA" w:rsidRPr="00A275FA" w:rsidRDefault="00A275FA" w:rsidP="00BB33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27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221E2" w:rsidRDefault="008221E2" w:rsidP="00BB331E">
      <w:pPr>
        <w:jc w:val="both"/>
      </w:pPr>
    </w:p>
    <w:p w:rsidR="00A275FA" w:rsidRDefault="008221E2" w:rsidP="00BB331E">
      <w:pPr>
        <w:jc w:val="both"/>
      </w:pPr>
      <w:r>
        <w:t xml:space="preserve">En general, detectamos las </w:t>
      </w:r>
      <w:r w:rsidR="00A275FA">
        <w:t>siguientes áreas de oportunidad:</w:t>
      </w:r>
    </w:p>
    <w:p w:rsidR="00A275FA" w:rsidRDefault="00A275FA" w:rsidP="00BB331E">
      <w:pPr>
        <w:pStyle w:val="Prrafodelista"/>
        <w:numPr>
          <w:ilvl w:val="0"/>
          <w:numId w:val="8"/>
        </w:numPr>
        <w:jc w:val="both"/>
      </w:pPr>
      <w:r>
        <w:t>Institucionalizar mecanismos de parlamento abierto</w:t>
      </w:r>
      <w:r w:rsidR="008221E2">
        <w:t>.</w:t>
      </w:r>
    </w:p>
    <w:p w:rsidR="00A275FA" w:rsidRDefault="00A275FA" w:rsidP="00BB331E">
      <w:pPr>
        <w:pStyle w:val="Prrafodelista"/>
        <w:numPr>
          <w:ilvl w:val="0"/>
          <w:numId w:val="8"/>
        </w:numPr>
        <w:jc w:val="both"/>
      </w:pPr>
      <w:r>
        <w:t>Informar a la ciudadanía sobre actividades de Control Interno</w:t>
      </w:r>
      <w:r w:rsidR="008221E2">
        <w:t>.</w:t>
      </w:r>
    </w:p>
    <w:p w:rsidR="00A275FA" w:rsidRDefault="002C727E" w:rsidP="00BB331E">
      <w:pPr>
        <w:pStyle w:val="Prrafodelista"/>
        <w:numPr>
          <w:ilvl w:val="0"/>
          <w:numId w:val="8"/>
        </w:numPr>
        <w:jc w:val="both"/>
      </w:pPr>
      <w:r>
        <w:t xml:space="preserve">Fortalecer </w:t>
      </w:r>
      <w:r w:rsidR="00A275FA">
        <w:t>al órgano de Control Interno</w:t>
      </w:r>
      <w:r w:rsidR="008221E2">
        <w:t>.</w:t>
      </w:r>
      <w:r w:rsidR="00A275FA">
        <w:t xml:space="preserve"> </w:t>
      </w:r>
    </w:p>
    <w:p w:rsidR="00A275FA" w:rsidRDefault="00A275FA" w:rsidP="00BB331E">
      <w:pPr>
        <w:pStyle w:val="Prrafodelista"/>
        <w:numPr>
          <w:ilvl w:val="0"/>
          <w:numId w:val="8"/>
        </w:numPr>
        <w:jc w:val="both"/>
      </w:pPr>
      <w:r>
        <w:t>Publicar información sobre espacios de toma de decisiones: JUCOPO</w:t>
      </w:r>
      <w:r w:rsidR="008221E2">
        <w:t>.</w:t>
      </w:r>
    </w:p>
    <w:p w:rsidR="00BB331E" w:rsidRDefault="00BB331E" w:rsidP="00BB331E">
      <w:pPr>
        <w:pStyle w:val="Prrafodelista"/>
        <w:numPr>
          <w:ilvl w:val="0"/>
          <w:numId w:val="8"/>
        </w:numPr>
        <w:jc w:val="both"/>
      </w:pPr>
      <w:r>
        <w:t>Exigir a 38 diputados publicación d</w:t>
      </w:r>
      <w:bookmarkStart w:id="0" w:name="_GoBack"/>
      <w:bookmarkEnd w:id="0"/>
      <w:r>
        <w:t>e 3 de 3</w:t>
      </w:r>
      <w:r w:rsidR="008221E2">
        <w:t>.</w:t>
      </w:r>
    </w:p>
    <w:p w:rsidR="00BB331E" w:rsidRDefault="00BB331E" w:rsidP="00BB331E">
      <w:pPr>
        <w:pStyle w:val="Prrafodelista"/>
        <w:numPr>
          <w:ilvl w:val="0"/>
          <w:numId w:val="8"/>
        </w:numPr>
        <w:jc w:val="both"/>
      </w:pPr>
      <w:r>
        <w:t>Traducir información a lengua indígena</w:t>
      </w:r>
      <w:r w:rsidR="008221E2">
        <w:t>.</w:t>
      </w:r>
    </w:p>
    <w:p w:rsidR="00BB331E" w:rsidRDefault="00BB331E" w:rsidP="00BB331E">
      <w:pPr>
        <w:pStyle w:val="Prrafodelista"/>
        <w:numPr>
          <w:ilvl w:val="0"/>
          <w:numId w:val="8"/>
        </w:numPr>
        <w:jc w:val="both"/>
      </w:pPr>
      <w:r>
        <w:t xml:space="preserve">Incentivar la participación de la ciudadanía en actividades del Congreso. </w:t>
      </w:r>
    </w:p>
    <w:p w:rsidR="008221E2" w:rsidRDefault="008221E2" w:rsidP="008221E2">
      <w:pPr>
        <w:jc w:val="both"/>
      </w:pPr>
      <w:r>
        <w:t xml:space="preserve">Aunque ésta es una evaluación que se realiza sobre la Legislatura y su funcionamiento, no sobre los diputados en particular, consideramos que el compromiso con la transparencia debe surgir de cada uno de los diputados, impactando así el desempeño de toda la legislatura. </w:t>
      </w:r>
    </w:p>
    <w:sectPr w:rsidR="008221E2" w:rsidSect="00C61D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500DF9" w15:done="0"/>
  <w15:commentEx w15:paraId="4334E625" w15:done="0"/>
  <w15:commentEx w15:paraId="5F6DE75E" w15:done="0"/>
  <w15:commentEx w15:paraId="1651D765" w15:done="0"/>
  <w15:commentEx w15:paraId="5CC0F3CA" w15:done="0"/>
  <w15:commentEx w15:paraId="71556BC4" w15:done="0"/>
  <w15:commentEx w15:paraId="751420CE" w15:done="0"/>
  <w15:commentEx w15:paraId="203B808A" w15:paraIdParent="751420CE" w15:done="0"/>
  <w15:commentEx w15:paraId="25BEF1C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2B5"/>
    <w:multiLevelType w:val="hybridMultilevel"/>
    <w:tmpl w:val="86AC0FEA"/>
    <w:lvl w:ilvl="0" w:tplc="08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571B4"/>
    <w:multiLevelType w:val="hybridMultilevel"/>
    <w:tmpl w:val="9C76C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496A"/>
    <w:multiLevelType w:val="hybridMultilevel"/>
    <w:tmpl w:val="49A22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92729"/>
    <w:multiLevelType w:val="hybridMultilevel"/>
    <w:tmpl w:val="0FC2C3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D3414"/>
    <w:multiLevelType w:val="hybridMultilevel"/>
    <w:tmpl w:val="40EAB8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27884"/>
    <w:multiLevelType w:val="hybridMultilevel"/>
    <w:tmpl w:val="4DF877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E680D"/>
    <w:multiLevelType w:val="hybridMultilevel"/>
    <w:tmpl w:val="0560B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42A76"/>
    <w:multiLevelType w:val="hybridMultilevel"/>
    <w:tmpl w:val="3D8C8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é Bautista Farías">
    <w15:presenceInfo w15:providerId="AD" w15:userId="S-1-5-21-3952106906-4065222325-3760204320-2322"/>
  </w15:person>
  <w15:person w15:author="José Bautista Farías [2]">
    <w15:presenceInfo w15:providerId="AD" w15:userId="S-1-5-21-3952106906-4065222325-3760204320-2322"/>
  </w15:person>
  <w15:person w15:author="José Bautista Farías [3]">
    <w15:presenceInfo w15:providerId="AD" w15:userId="S-1-5-21-3952106906-4065222325-3760204320-2322"/>
  </w15:person>
  <w15:person w15:author="José Bautista Farías [4]">
    <w15:presenceInfo w15:providerId="AD" w15:userId="S-1-5-21-3952106906-4065222325-3760204320-2322"/>
  </w15:person>
  <w15:person w15:author="José Bautista Farías [5]">
    <w15:presenceInfo w15:providerId="AD" w15:userId="S-1-5-21-3952106906-4065222325-3760204320-2322"/>
  </w15:person>
  <w15:person w15:author="José Bautista Farías [6]">
    <w15:presenceInfo w15:providerId="AD" w15:userId="S-1-5-21-3952106906-4065222325-3760204320-2322"/>
  </w15:person>
  <w15:person w15:author="José Bautista Farías [7]">
    <w15:presenceInfo w15:providerId="AD" w15:userId="S-1-5-21-3952106906-4065222325-3760204320-2322"/>
  </w15:person>
  <w15:person w15:author="José Bautista Farías [8]">
    <w15:presenceInfo w15:providerId="AD" w15:userId="S-1-5-21-3952106906-4065222325-3760204320-23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550419"/>
    <w:rsid w:val="00115B94"/>
    <w:rsid w:val="00124520"/>
    <w:rsid w:val="001B0E79"/>
    <w:rsid w:val="001B6629"/>
    <w:rsid w:val="00223736"/>
    <w:rsid w:val="0023066E"/>
    <w:rsid w:val="0028485D"/>
    <w:rsid w:val="002B75B2"/>
    <w:rsid w:val="002C727E"/>
    <w:rsid w:val="00332311"/>
    <w:rsid w:val="0034134E"/>
    <w:rsid w:val="00452381"/>
    <w:rsid w:val="005373C9"/>
    <w:rsid w:val="00544FB2"/>
    <w:rsid w:val="00550419"/>
    <w:rsid w:val="006F7F34"/>
    <w:rsid w:val="00707100"/>
    <w:rsid w:val="00765803"/>
    <w:rsid w:val="00810FBD"/>
    <w:rsid w:val="008221E2"/>
    <w:rsid w:val="00915CCF"/>
    <w:rsid w:val="00A20693"/>
    <w:rsid w:val="00A275FA"/>
    <w:rsid w:val="00AA2CF4"/>
    <w:rsid w:val="00B531FE"/>
    <w:rsid w:val="00BB331E"/>
    <w:rsid w:val="00BB3ACF"/>
    <w:rsid w:val="00BB528C"/>
    <w:rsid w:val="00C61D7C"/>
    <w:rsid w:val="00CD7962"/>
    <w:rsid w:val="00D17037"/>
    <w:rsid w:val="00D6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4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419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4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0419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0419"/>
    <w:rPr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419"/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419"/>
    <w:rPr>
      <w:rFonts w:ascii="Segoe UI" w:hAnsi="Segoe UI" w:cs="Segoe UI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550419"/>
    <w:rPr>
      <w:color w:val="0000FF"/>
      <w:u w:val="single"/>
    </w:rPr>
  </w:style>
  <w:style w:type="paragraph" w:customStyle="1" w:styleId="xl67">
    <w:name w:val="xl67"/>
    <w:basedOn w:val="Normal"/>
    <w:rsid w:val="00550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68">
    <w:name w:val="xl68"/>
    <w:basedOn w:val="Normal"/>
    <w:rsid w:val="00550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69">
    <w:name w:val="xl69"/>
    <w:basedOn w:val="Normal"/>
    <w:rsid w:val="00550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0">
    <w:name w:val="xl70"/>
    <w:basedOn w:val="Normal"/>
    <w:rsid w:val="00550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1">
    <w:name w:val="xl71"/>
    <w:basedOn w:val="Normal"/>
    <w:rsid w:val="00550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2">
    <w:name w:val="xl72"/>
    <w:basedOn w:val="Normal"/>
    <w:rsid w:val="0055041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xl73">
    <w:name w:val="xl73"/>
    <w:basedOn w:val="Normal"/>
    <w:rsid w:val="0055041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37562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xl74">
    <w:name w:val="xl74"/>
    <w:basedOn w:val="Normal"/>
    <w:rsid w:val="0055041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xl75">
    <w:name w:val="xl75"/>
    <w:basedOn w:val="Normal"/>
    <w:rsid w:val="0055041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37562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xl76">
    <w:name w:val="xl76"/>
    <w:basedOn w:val="Normal"/>
    <w:rsid w:val="0055041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xl77">
    <w:name w:val="xl77"/>
    <w:basedOn w:val="Normal"/>
    <w:rsid w:val="00550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8">
    <w:name w:val="xl78"/>
    <w:basedOn w:val="Normal"/>
    <w:rsid w:val="005504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9">
    <w:name w:val="xl79"/>
    <w:basedOn w:val="Normal"/>
    <w:rsid w:val="0055041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0">
    <w:name w:val="xl80"/>
    <w:basedOn w:val="Normal"/>
    <w:rsid w:val="005504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1">
    <w:name w:val="xl81"/>
    <w:basedOn w:val="Normal"/>
    <w:rsid w:val="00550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2">
    <w:name w:val="xl82"/>
    <w:basedOn w:val="Normal"/>
    <w:rsid w:val="00550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3">
    <w:name w:val="xl83"/>
    <w:basedOn w:val="Normal"/>
    <w:rsid w:val="00550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xl84">
    <w:name w:val="xl84"/>
    <w:basedOn w:val="Normal"/>
    <w:rsid w:val="00550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xl85">
    <w:name w:val="xl85"/>
    <w:basedOn w:val="Normal"/>
    <w:rsid w:val="00550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xl86">
    <w:name w:val="xl86"/>
    <w:basedOn w:val="Normal"/>
    <w:rsid w:val="00550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xl87">
    <w:name w:val="xl87"/>
    <w:basedOn w:val="Normal"/>
    <w:rsid w:val="00550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959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xl88">
    <w:name w:val="xl88"/>
    <w:basedOn w:val="Normal"/>
    <w:rsid w:val="00550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9">
    <w:name w:val="xl89"/>
    <w:basedOn w:val="Normal"/>
    <w:rsid w:val="00550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90">
    <w:name w:val="xl90"/>
    <w:basedOn w:val="Normal"/>
    <w:rsid w:val="00550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91">
    <w:name w:val="xl91"/>
    <w:basedOn w:val="Normal"/>
    <w:rsid w:val="00550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92">
    <w:name w:val="xl92"/>
    <w:basedOn w:val="Normal"/>
    <w:rsid w:val="00550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93">
    <w:name w:val="xl93"/>
    <w:basedOn w:val="Normal"/>
    <w:rsid w:val="00550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94">
    <w:name w:val="xl94"/>
    <w:basedOn w:val="Normal"/>
    <w:rsid w:val="00550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A2CF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7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plotArea>
      <c:layout/>
      <c:lineChart>
        <c:grouping val="standard"/>
        <c:ser>
          <c:idx val="0"/>
          <c:order val="0"/>
          <c:tx>
            <c:strRef>
              <c:f>Hoja1!$B$1</c:f>
              <c:strCache>
                <c:ptCount val="1"/>
                <c:pt idx="0">
                  <c:v>Calificación LXI Legislatura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Hoja1!$A$2:$A$4</c:f>
              <c:numCache>
                <c:formatCode>mmm\-yy</c:formatCode>
                <c:ptCount val="3"/>
                <c:pt idx="0">
                  <c:v>42675</c:v>
                </c:pt>
                <c:pt idx="1">
                  <c:v>42948</c:v>
                </c:pt>
                <c:pt idx="2">
                  <c:v>43374</c:v>
                </c:pt>
              </c:numCache>
            </c:numRef>
          </c:cat>
          <c:val>
            <c:numRef>
              <c:f>Hoja1!$B$2:$B$4</c:f>
              <c:numCache>
                <c:formatCode>General</c:formatCode>
                <c:ptCount val="3"/>
                <c:pt idx="0">
                  <c:v>60.8</c:v>
                </c:pt>
                <c:pt idx="1">
                  <c:v>78.400000000000006</c:v>
                </c:pt>
                <c:pt idx="2">
                  <c:v>53.1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57-4BC5-A0F1-F0863E8F04B7}"/>
            </c:ext>
          </c:extLst>
        </c:ser>
        <c:dLbls>
          <c:showVal val="1"/>
        </c:dLbls>
        <c:marker val="1"/>
        <c:axId val="69873024"/>
        <c:axId val="69928064"/>
      </c:lineChart>
      <c:dateAx>
        <c:axId val="69873024"/>
        <c:scaling>
          <c:orientation val="minMax"/>
        </c:scaling>
        <c:axPos val="b"/>
        <c:numFmt formatCode="mmm\-yy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9928064"/>
        <c:crosses val="autoZero"/>
        <c:auto val="1"/>
        <c:lblOffset val="100"/>
        <c:baseTimeUnit val="months"/>
      </c:dateAx>
      <c:valAx>
        <c:axId val="699280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69873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IEPCJalisco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Javier Aguirre Arias</dc:creator>
  <cp:lastModifiedBy>HpAmd</cp:lastModifiedBy>
  <cp:revision>25</cp:revision>
  <dcterms:created xsi:type="dcterms:W3CDTF">2018-11-12T03:19:00Z</dcterms:created>
  <dcterms:modified xsi:type="dcterms:W3CDTF">2018-11-12T03:40:00Z</dcterms:modified>
</cp:coreProperties>
</file>